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color w:val="auto"/>
          <w:sz w:val="22"/>
        </w:rPr>
      </w:pPr>
      <w:bookmarkStart w:id="0" w:name="_GoBack"/>
      <w:bookmarkEnd w:id="0"/>
      <w:r>
        <w:rPr>
          <w:rFonts w:hint="eastAsia" w:ascii="ＭＳ 明朝" w:hAnsi="ＭＳ 明朝" w:eastAsia="ＭＳ 明朝"/>
          <w:color w:val="auto"/>
          <w:sz w:val="22"/>
        </w:rPr>
        <w:t>様式第２号（第７条関係）</w:t>
      </w:r>
    </w:p>
    <w:p>
      <w:pPr>
        <w:pStyle w:val="0"/>
        <w:ind w:left="480" w:hanging="420" w:hangingChars="200"/>
        <w:jc w:val="center"/>
        <w:rPr>
          <w:rFonts w:hint="default"/>
          <w:color w:val="auto"/>
          <w:sz w:val="24"/>
        </w:rPr>
      </w:pPr>
      <w:r>
        <w:rPr>
          <w:rFonts w:hint="eastAsia" w:ascii="ＭＳ 明朝" w:hAnsi="ＭＳ 明朝" w:eastAsia="ＭＳ 明朝"/>
          <w:color w:val="auto"/>
          <w:sz w:val="24"/>
        </w:rPr>
        <w:t>誓約書（申請者用）</w:t>
      </w:r>
    </w:p>
    <w:p>
      <w:pPr>
        <w:pStyle w:val="0"/>
        <w:jc w:val="both"/>
        <w:rPr>
          <w:rFonts w:hint="default"/>
          <w:color w:val="auto"/>
          <w:sz w:val="24"/>
        </w:rPr>
      </w:pPr>
    </w:p>
    <w:p>
      <w:pPr>
        <w:pStyle w:val="0"/>
        <w:ind w:left="1"/>
        <w:jc w:val="both"/>
        <w:rPr>
          <w:rFonts w:hint="default"/>
          <w:color w:val="auto"/>
          <w:sz w:val="24"/>
        </w:rPr>
      </w:pPr>
      <w:r>
        <w:rPr>
          <w:rFonts w:hint="eastAsia" w:ascii="ＭＳ 明朝" w:hAnsi="ＭＳ 明朝" w:eastAsia="ＭＳ 明朝"/>
          <w:color w:val="auto"/>
          <w:sz w:val="24"/>
        </w:rPr>
        <w:t>　山県市カーボン・マイナス・シティ推進事業用補助金の交付を受けるにあたり、以下の事項について誓約します。</w:t>
      </w:r>
    </w:p>
    <w:p>
      <w:pPr>
        <w:pStyle w:val="0"/>
        <w:ind w:left="480" w:hanging="420" w:hangingChars="200"/>
        <w:jc w:val="both"/>
        <w:rPr>
          <w:rFonts w:hint="default"/>
          <w:color w:val="auto"/>
          <w:sz w:val="24"/>
        </w:rPr>
      </w:pP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１　再生可能エネルギー電気の利用の促進に関する特別措置法（平成</w:t>
      </w:r>
      <w:r>
        <w:rPr>
          <w:rFonts w:hint="eastAsia" w:ascii="ＭＳ 明朝" w:hAnsi="ＭＳ 明朝" w:eastAsia="ＭＳ 明朝"/>
          <w:color w:val="auto"/>
          <w:sz w:val="21"/>
        </w:rPr>
        <w:t>23</w:t>
      </w:r>
      <w:r>
        <w:rPr>
          <w:rFonts w:hint="eastAsia" w:ascii="ＭＳ 明朝" w:hAnsi="ＭＳ 明朝" w:eastAsia="ＭＳ 明朝"/>
          <w:color w:val="auto"/>
          <w:sz w:val="21"/>
        </w:rPr>
        <w:t>年法律第</w:t>
      </w:r>
      <w:r>
        <w:rPr>
          <w:rFonts w:hint="eastAsia" w:ascii="ＭＳ 明朝" w:hAnsi="ＭＳ 明朝" w:eastAsia="ＭＳ 明朝"/>
          <w:color w:val="auto"/>
          <w:sz w:val="21"/>
        </w:rPr>
        <w:t>108</w:t>
      </w:r>
      <w:r>
        <w:rPr>
          <w:rFonts w:hint="eastAsia" w:ascii="ＭＳ 明朝" w:hAnsi="ＭＳ 明朝" w:eastAsia="ＭＳ 明朝"/>
          <w:color w:val="auto"/>
          <w:sz w:val="21"/>
        </w:rPr>
        <w:t>号。以下「再エネ特措法」という。）に基づく固定価格買取制度（以下「</w:t>
      </w:r>
      <w:r>
        <w:rPr>
          <w:rFonts w:hint="eastAsia" w:ascii="ＭＳ 明朝" w:hAnsi="ＭＳ 明朝" w:eastAsia="ＭＳ 明朝"/>
          <w:color w:val="auto"/>
          <w:sz w:val="21"/>
        </w:rPr>
        <w:t>FIT</w:t>
      </w:r>
      <w:r>
        <w:rPr>
          <w:rFonts w:hint="eastAsia" w:ascii="ＭＳ 明朝" w:hAnsi="ＭＳ 明朝" w:eastAsia="ＭＳ 明朝"/>
          <w:color w:val="auto"/>
          <w:sz w:val="21"/>
        </w:rPr>
        <w:t>」という。）の認定又は</w:t>
      </w:r>
      <w:r>
        <w:rPr>
          <w:rFonts w:hint="eastAsia" w:ascii="ＭＳ 明朝" w:hAnsi="ＭＳ 明朝" w:eastAsia="ＭＳ 明朝"/>
          <w:color w:val="auto"/>
          <w:sz w:val="21"/>
        </w:rPr>
        <w:t>FIP(Feed in Premium)</w:t>
      </w:r>
      <w:r>
        <w:rPr>
          <w:rFonts w:hint="eastAsia" w:ascii="ＭＳ 明朝" w:hAnsi="ＭＳ 明朝" w:eastAsia="ＭＳ 明朝"/>
          <w:color w:val="auto"/>
          <w:sz w:val="21"/>
        </w:rPr>
        <w:t>制度の認定を取得しないこと。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２　電気事業法第２条第１項第５号ロに定める接続供給（自己託送）を行わないものであること。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３　地域住民や地域の自治体と適切なコミュニケーションを図るとともに、地域住民に十分配慮して事業を実施するよう努めること。</w:t>
      </w:r>
    </w:p>
    <w:p>
      <w:pPr>
        <w:pStyle w:val="0"/>
        <w:spacing w:before="176" w:beforeLines="50" w:beforeAutospacing="0"/>
        <w:jc w:val="both"/>
        <w:rPr>
          <w:rFonts w:hint="default"/>
          <w:color w:val="auto"/>
        </w:rPr>
      </w:pPr>
      <w:r>
        <w:rPr>
          <w:rFonts w:hint="eastAsia" w:ascii="ＭＳ 明朝" w:hAnsi="ＭＳ 明朝" w:eastAsia="ＭＳ 明朝"/>
          <w:color w:val="auto"/>
          <w:sz w:val="21"/>
        </w:rPr>
        <w:t>４　関係法令及び条例の規定に従い、土地開発等の設計・施工を行うこと。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５　防災、環境保全及び景観保全を考慮し、補助対象設備の設計を行うよう努めること。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６　</w:t>
      </w:r>
      <w:r>
        <w:rPr>
          <w:rFonts w:hint="eastAsia" w:ascii="ＭＳ 明朝" w:hAnsi="ＭＳ 明朝" w:eastAsia="ＭＳ 明朝"/>
          <w:color w:val="auto"/>
          <w:sz w:val="21"/>
        </w:rPr>
        <w:t>20kW</w:t>
      </w:r>
      <w:r>
        <w:rPr>
          <w:rFonts w:hint="eastAsia" w:ascii="ＭＳ 明朝" w:hAnsi="ＭＳ 明朝" w:eastAsia="ＭＳ 明朝"/>
          <w:color w:val="auto"/>
          <w:sz w:val="21"/>
        </w:rPr>
        <w:t>以上の太陽光発電設備を設置する場合は、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７　電気事業法の規定に基づく技術基準適合義務、立入検査、報告徴収に対する資料の提出に対応するため、発電設備の設計図書や竣工試験データを含む完成図書を作成し、適切な方法で管理及び保存すること。</w:t>
      </w:r>
    </w:p>
    <w:p>
      <w:pPr>
        <w:pStyle w:val="0"/>
        <w:spacing w:before="176" w:beforeLines="50" w:beforeAutospacing="0"/>
        <w:jc w:val="both"/>
        <w:rPr>
          <w:rFonts w:hint="default"/>
          <w:color w:val="auto"/>
        </w:rPr>
      </w:pPr>
      <w:r>
        <w:rPr>
          <w:rFonts w:hint="eastAsia" w:ascii="ＭＳ 明朝" w:hAnsi="ＭＳ 明朝" w:eastAsia="ＭＳ 明朝"/>
          <w:color w:val="auto"/>
          <w:sz w:val="21"/>
        </w:rPr>
        <w:t>８　設備の設置後、適切な保守点検及び維持管理を実施すること。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９　接続契約を締結している一般送配電事業者又は特定送配電事業者から国が定める出力制御の指針に基づいた出力制御の要請を受けたときは、適切な方法により協力すること。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10</w:t>
      </w:r>
      <w:r>
        <w:rPr>
          <w:rFonts w:hint="eastAsia" w:ascii="ＭＳ 明朝" w:hAnsi="ＭＳ 明朝" w:eastAsia="ＭＳ 明朝"/>
          <w:color w:val="auto"/>
          <w:sz w:val="21"/>
        </w:rPr>
        <w:t>　防災、環境保全、景観保全の観点から計画段階で予期しなかった問題が生じた場合、適切な対策を講じ、災害防止や自然破壊、近隣への配慮を行うよう努めること。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11</w:t>
      </w:r>
      <w:r>
        <w:rPr>
          <w:rFonts w:hint="eastAsia" w:ascii="ＭＳ 明朝" w:hAnsi="ＭＳ 明朝" w:eastAsia="ＭＳ 明朝"/>
          <w:color w:val="auto"/>
          <w:sz w:val="21"/>
        </w:rPr>
        <w:t>　交付対象設備を処分する際は、関係法令の規定を遵守すること。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12</w:t>
      </w:r>
      <w:r>
        <w:rPr>
          <w:rFonts w:hint="eastAsia" w:ascii="ＭＳ 明朝" w:hAnsi="ＭＳ 明朝" w:eastAsia="ＭＳ 明朝"/>
          <w:color w:val="auto"/>
          <w:sz w:val="21"/>
        </w:rPr>
        <w:t>　</w:t>
      </w:r>
      <w:r>
        <w:rPr>
          <w:rFonts w:hint="eastAsia" w:ascii="ＭＳ 明朝" w:hAnsi="ＭＳ 明朝" w:eastAsia="ＭＳ 明朝"/>
          <w:color w:val="auto"/>
          <w:sz w:val="21"/>
        </w:rPr>
        <w:t>10kW</w:t>
      </w:r>
      <w:r>
        <w:rPr>
          <w:rFonts w:hint="eastAsia" w:ascii="ＭＳ 明朝" w:hAnsi="ＭＳ 明朝" w:eastAsia="ＭＳ 明朝"/>
          <w:color w:val="auto"/>
          <w:sz w:val="21"/>
        </w:rPr>
        <w:t>以上の太陽光発電設備を設置する場合は、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13</w:t>
      </w:r>
      <w:r>
        <w:rPr>
          <w:rFonts w:hint="eastAsia" w:ascii="ＭＳ 明朝" w:hAnsi="ＭＳ 明朝" w:eastAsia="ＭＳ 明朝"/>
          <w:color w:val="auto"/>
          <w:sz w:val="21"/>
        </w:rPr>
        <w:t>　</w:t>
      </w:r>
      <w:r>
        <w:rPr>
          <w:rFonts w:hint="eastAsia" w:ascii="ＭＳ 明朝" w:hAnsi="ＭＳ 明朝" w:eastAsia="ＭＳ 明朝"/>
          <w:color w:val="auto"/>
          <w:sz w:val="21"/>
        </w:rPr>
        <w:t>10kW</w:t>
      </w:r>
      <w:r>
        <w:rPr>
          <w:rFonts w:hint="eastAsia" w:ascii="ＭＳ 明朝" w:hAnsi="ＭＳ 明朝" w:eastAsia="ＭＳ 明朝"/>
          <w:color w:val="auto"/>
          <w:sz w:val="21"/>
        </w:rPr>
        <w:t>以上の太陽光発電設備を設置する場合は、災害等による撤去及び処分に備えた火災保険や地震保険、第三者賠償保険等に加入するよう努めること。</w:t>
      </w:r>
    </w:p>
    <w:p>
      <w:pPr>
        <w:pStyle w:val="0"/>
        <w:spacing w:before="176" w:beforeLines="50" w:beforeAutospacing="0"/>
        <w:ind w:left="210" w:hanging="210" w:hangingChars="100"/>
        <w:jc w:val="both"/>
        <w:rPr>
          <w:rFonts w:hint="default"/>
          <w:color w:val="auto"/>
        </w:rPr>
      </w:pPr>
      <w:r>
        <w:rPr>
          <w:rFonts w:hint="eastAsia" w:ascii="ＭＳ 明朝" w:hAnsi="ＭＳ 明朝" w:eastAsia="ＭＳ 明朝"/>
          <w:color w:val="auto"/>
          <w:sz w:val="21"/>
        </w:rPr>
        <w:t>14</w:t>
      </w:r>
      <w:r>
        <w:rPr>
          <w:rFonts w:hint="eastAsia" w:ascii="ＭＳ 明朝" w:hAnsi="ＭＳ 明朝" w:eastAsia="ＭＳ 明朝"/>
          <w:color w:val="auto"/>
          <w:sz w:val="21"/>
        </w:rPr>
        <w:t>　発電した電力量のうち</w:t>
      </w:r>
      <w:r>
        <w:rPr>
          <w:rFonts w:hint="eastAsia" w:ascii="ＭＳ 明朝" w:hAnsi="ＭＳ 明朝" w:eastAsia="ＭＳ 明朝"/>
          <w:color w:val="auto"/>
          <w:sz w:val="21"/>
        </w:rPr>
        <w:t>50%</w:t>
      </w:r>
      <w:r>
        <w:rPr>
          <w:rFonts w:hint="eastAsia" w:ascii="ＭＳ 明朝" w:hAnsi="ＭＳ 明朝" w:eastAsia="ＭＳ 明朝"/>
          <w:color w:val="auto"/>
          <w:sz w:val="21"/>
        </w:rPr>
        <w:t>以上を、申請した事業所の敷地内で自らの事業のために消費すること。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15</w:t>
      </w:r>
      <w:r>
        <w:rPr>
          <w:rFonts w:hint="eastAsia" w:ascii="ＭＳ 明朝" w:hAnsi="ＭＳ 明朝" w:eastAsia="ＭＳ 明朝"/>
          <w:color w:val="auto"/>
          <w:sz w:val="21"/>
        </w:rPr>
        <w:t>　補助対象設備によって得られる環境価値のうち、需要家に供給を行った電力量に紐づく環境価値を需要家に帰属させること。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16</w:t>
      </w:r>
      <w:r>
        <w:rPr>
          <w:rFonts w:hint="eastAsia" w:ascii="ＭＳ 明朝" w:hAnsi="ＭＳ 明朝" w:eastAsia="ＭＳ 明朝"/>
          <w:color w:val="auto"/>
          <w:sz w:val="21"/>
        </w:rPr>
        <w:t>　法定耐用年数が経過するまでの間、補助の目的に沿って設備を活用できる見込みがあること。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17</w:t>
      </w:r>
      <w:r>
        <w:rPr>
          <w:rFonts w:hint="eastAsia" w:ascii="ＭＳ 明朝" w:hAnsi="ＭＳ 明朝" w:eastAsia="ＭＳ 明朝"/>
          <w:color w:val="auto"/>
          <w:sz w:val="21"/>
        </w:rPr>
        <w:t>　</w:t>
      </w:r>
      <w:r>
        <w:rPr>
          <w:rFonts w:hint="eastAsia" w:ascii="ＭＳ 明朝" w:hAnsi="ＭＳ 明朝" w:eastAsia="ＭＳ 明朝"/>
          <w:color w:val="000000"/>
          <w:sz w:val="20"/>
        </w:rPr>
        <w:t>法定耐用年数を経過するまでの間、交付対象事業により取得した温室効果ガス排出削減効果についてＪ－クレジット制度への登録を行わないこと。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18</w:t>
      </w:r>
      <w:r>
        <w:rPr>
          <w:rFonts w:hint="eastAsia" w:ascii="ＭＳ 明朝" w:hAnsi="ＭＳ 明朝" w:eastAsia="ＭＳ 明朝"/>
          <w:color w:val="auto"/>
          <w:sz w:val="21"/>
        </w:rPr>
        <w:t>　補助対象設備に対し、国や県から他の補助金等を受けていないこと。</w:t>
      </w:r>
    </w:p>
    <w:p>
      <w:pPr>
        <w:pStyle w:val="0"/>
        <w:spacing w:before="176" w:beforeLines="50" w:beforeAutospacing="0"/>
        <w:ind w:left="212" w:leftChars="1" w:hanging="210" w:hangingChars="100"/>
        <w:jc w:val="both"/>
        <w:rPr>
          <w:rFonts w:hint="default"/>
          <w:color w:val="auto"/>
        </w:rPr>
      </w:pPr>
      <w:r>
        <w:rPr>
          <w:rFonts w:hint="eastAsia" w:ascii="ＭＳ 明朝" w:hAnsi="ＭＳ 明朝" w:eastAsia="ＭＳ 明朝"/>
          <w:color w:val="auto"/>
          <w:sz w:val="21"/>
        </w:rPr>
        <w:t>19</w:t>
      </w:r>
      <w:r>
        <w:rPr>
          <w:rFonts w:hint="eastAsia" w:ascii="ＭＳ 明朝" w:hAnsi="ＭＳ 明朝" w:eastAsia="ＭＳ 明朝"/>
          <w:color w:val="auto"/>
          <w:sz w:val="21"/>
        </w:rPr>
        <w:t>　要綱第５条の欠格事由に該当する事由がないこと。</w:t>
      </w:r>
    </w:p>
    <w:p>
      <w:pPr>
        <w:pStyle w:val="0"/>
        <w:jc w:val="both"/>
        <w:rPr>
          <w:rFonts w:hint="default"/>
          <w:color w:val="auto"/>
          <w:sz w:val="24"/>
        </w:rPr>
      </w:pPr>
    </w:p>
    <w:p>
      <w:pPr>
        <w:pStyle w:val="0"/>
        <w:ind w:left="307" w:leftChars="146" w:firstLine="1050" w:firstLineChars="500"/>
        <w:jc w:val="both"/>
        <w:rPr>
          <w:rFonts w:hint="default"/>
          <w:color w:val="auto"/>
          <w:sz w:val="24"/>
        </w:rPr>
      </w:pPr>
      <w:r>
        <w:rPr>
          <w:rFonts w:hint="eastAsia" w:ascii="ＭＳ 明朝" w:hAnsi="ＭＳ 明朝" w:eastAsia="ＭＳ 明朝"/>
          <w:color w:val="auto"/>
          <w:sz w:val="24"/>
        </w:rPr>
        <w:t>年　　月　　日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申請者名</w:t>
      </w:r>
      <w:r>
        <w:rPr>
          <w:rFonts w:hint="eastAsia" w:ascii="ＭＳ 明朝" w:hAnsi="ＭＳ 明朝" w:eastAsia="ＭＳ 明朝"/>
          <w:color w:val="auto"/>
          <w:sz w:val="24"/>
        </w:rPr>
        <w:t xml:space="preserve">                          </w:t>
      </w:r>
    </w:p>
    <w:p>
      <w:pPr>
        <w:pStyle w:val="0"/>
        <w:ind w:left="307" w:leftChars="146" w:firstLine="3255" w:firstLineChars="1550"/>
        <w:jc w:val="both"/>
        <w:rPr>
          <w:rFonts w:hint="default"/>
          <w:color w:val="auto"/>
          <w:sz w:val="24"/>
        </w:rPr>
      </w:pPr>
      <w:r>
        <w:rPr>
          <w:rFonts w:hint="eastAsia" w:ascii="ＭＳ 明朝" w:hAnsi="ＭＳ 明朝" w:eastAsia="ＭＳ 明朝"/>
          <w:color w:val="auto"/>
          <w:sz w:val="24"/>
        </w:rPr>
        <w:t>代表者名　　　　　　　　　　　　　　印</w:t>
      </w:r>
    </w:p>
    <w:p>
      <w:pPr>
        <w:pStyle w:val="0"/>
        <w:jc w:val="both"/>
        <w:rPr>
          <w:color w:val="auto"/>
        </w:rPr>
      </w:pPr>
    </w:p>
    <w:sectPr>
      <w:pgSz w:w="11906" w:h="16838"/>
      <w:pgMar w:top="851" w:right="1134" w:bottom="851" w:left="1134" w:header="720" w:footer="720" w:gutter="0"/>
      <w:pgNumType w:start="1"/>
      <w:cols w:space="720"/>
      <w:textDirection w:val="lrTb"/>
      <w:docGrid w:linePitch="363"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paragraph" w:styleId="19" w:customStyle="1">
    <w:name w:val="Note Heading"/>
    <w:basedOn w:val="0"/>
    <w:next w:val="0"/>
    <w:link w:val="20"/>
    <w:uiPriority w:val="0"/>
    <w:qFormat/>
    <w:pPr>
      <w:overflowPunct w:val="1"/>
      <w:adjustRightInd w:val="1"/>
      <w:jc w:val="center"/>
      <w:textAlignment w:val="auto"/>
    </w:pPr>
    <w:rPr>
      <w:color w:val="auto"/>
    </w:rPr>
  </w:style>
  <w:style w:type="character" w:styleId="20" w:customStyle="1">
    <w:name w:val="記 (文字)"/>
    <w:basedOn w:val="10"/>
    <w:next w:val="20"/>
    <w:link w:val="19"/>
    <w:uiPriority w:val="0"/>
    <w:qFormat/>
    <w:rPr>
      <w:rFonts w:ascii="ＭＳ 明朝" w:hAnsi="ＭＳ 明朝" w:eastAsia="ＭＳ 明朝"/>
      <w:kern w:val="0"/>
      <w:sz w:val="21"/>
    </w:rPr>
  </w:style>
  <w:style w:type="paragraph" w:styleId="21">
    <w:name w:val="Closing"/>
    <w:basedOn w:val="0"/>
    <w:next w:val="21"/>
    <w:link w:val="22"/>
    <w:uiPriority w:val="0"/>
    <w:pPr>
      <w:overflowPunct w:val="1"/>
      <w:adjustRightInd w:val="1"/>
      <w:jc w:val="right"/>
      <w:textAlignment w:val="auto"/>
    </w:pPr>
    <w:rPr>
      <w:color w:val="auto"/>
    </w:rPr>
  </w:style>
  <w:style w:type="character" w:styleId="22" w:customStyle="1">
    <w:name w:val="結語 (文字)"/>
    <w:basedOn w:val="10"/>
    <w:next w:val="22"/>
    <w:link w:val="21"/>
    <w:uiPriority w:val="0"/>
    <w:qFormat/>
    <w:rPr>
      <w:rFonts w:ascii="ＭＳ 明朝" w:hAnsi="ＭＳ 明朝" w:eastAsia="ＭＳ 明朝"/>
      <w:kern w:val="0"/>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215</Words>
  <Characters>1228</Characters>
  <Application>JUST Note</Application>
  <Lines>0</Lines>
  <Paragraphs>0</Paragraphs>
  <CharactersWithSpaces>1441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笠井進</cp:lastModifiedBy>
  <cp:lastPrinted>2023-03-29T13:28:00Z</cp:lastPrinted>
  <dcterms:created xsi:type="dcterms:W3CDTF">2024-04-08T14:16:00Z</dcterms:created>
  <dcterms:modified xsi:type="dcterms:W3CDTF">2025-01-06T02:11:12Z</dcterms:modified>
  <cp:revision>5</cp:revision>
</cp:coreProperties>
</file>